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B08" w:rsidRDefault="00913B08" w:rsidP="00A94F05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913B08" w:rsidRDefault="00913B08" w:rsidP="00A94F05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913B08" w:rsidRDefault="00913B08" w:rsidP="00A94F05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913B08" w:rsidRPr="00A94F05" w:rsidRDefault="00913B08" w:rsidP="00A94F05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438B9" w:rsidRPr="00E601A2" w:rsidRDefault="00181A04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  <w:r w:rsidRPr="00E601A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Методические рекомендации по </w:t>
      </w:r>
      <w:r w:rsidR="004B1136" w:rsidRPr="00E601A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>организации работы в сфере профилактики экстремизма</w:t>
      </w:r>
      <w:r w:rsidRPr="00E601A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 в</w:t>
      </w:r>
      <w:r w:rsidR="004B1136" w:rsidRPr="00E601A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 детской, подростковой и</w:t>
      </w:r>
      <w:r w:rsidRPr="00E601A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 молодежной среде</w:t>
      </w:r>
    </w:p>
    <w:p w:rsidR="00913B08" w:rsidRDefault="00913B08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</w:p>
    <w:p w:rsidR="00913B08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52"/>
          <w:szCs w:val="5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3210664</wp:posOffset>
            </wp:positionH>
            <wp:positionV relativeFrom="paragraph">
              <wp:posOffset>196091</wp:posOffset>
            </wp:positionV>
            <wp:extent cx="2530542" cy="2006221"/>
            <wp:effectExtent l="19050" t="0" r="3108" b="0"/>
            <wp:wrapNone/>
            <wp:docPr id="3" name="Рисунок 4" descr="http://www.prok-murmansk.ru/ifiles/dopimages/cve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rok-murmansk.ru/ifiles/dopimages/cveto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542" cy="200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4F05" w:rsidRDefault="00A94F05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P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rFonts w:ascii="Arial" w:hAnsi="Arial" w:cs="Arial"/>
          <w:b/>
          <w:noProof/>
          <w:sz w:val="40"/>
          <w:szCs w:val="40"/>
        </w:rPr>
      </w:pPr>
      <w:r w:rsidRPr="00F93050">
        <w:rPr>
          <w:rFonts w:ascii="Arial" w:hAnsi="Arial" w:cs="Arial"/>
          <w:b/>
          <w:noProof/>
          <w:sz w:val="40"/>
          <w:szCs w:val="40"/>
        </w:rPr>
        <w:t>ТОЛЕРАНТНОСТЬ – ЭТО ГАРМОНИЯ В МНОГООБРАЗИИ.</w:t>
      </w:r>
    </w:p>
    <w:p w:rsidR="004A5BB7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-5080</wp:posOffset>
            </wp:positionV>
            <wp:extent cx="2979420" cy="2665730"/>
            <wp:effectExtent l="19050" t="0" r="0" b="0"/>
            <wp:wrapNone/>
            <wp:docPr id="5" name="Рисунок 7" descr="http://peterburg2.ru/attachment/92PxjWPtd531/700x438/3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terburg2.ru/attachment/92PxjWPtd531/700x438/3_resiz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266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-5080</wp:posOffset>
            </wp:positionV>
            <wp:extent cx="2721610" cy="2233295"/>
            <wp:effectExtent l="19050" t="0" r="2540" b="0"/>
            <wp:wrapNone/>
            <wp:docPr id="6" name="Рисунок 10" descr="http://kctt.spb.ru/img/konkurs/kulak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ctt.spb.ru/img/konkurs/kulakov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223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Pr="00F93050" w:rsidRDefault="00F93050" w:rsidP="00F93050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rFonts w:ascii="Arial" w:hAnsi="Arial" w:cs="Arial"/>
          <w:b/>
          <w:noProof/>
          <w:sz w:val="40"/>
          <w:szCs w:val="40"/>
        </w:rPr>
      </w:pPr>
      <w:r w:rsidRPr="00F93050">
        <w:rPr>
          <w:rFonts w:ascii="Arial" w:hAnsi="Arial" w:cs="Arial"/>
          <w:b/>
          <w:noProof/>
          <w:sz w:val="40"/>
          <w:szCs w:val="40"/>
        </w:rPr>
        <w:t>МЫ – РОССИЯНЕ!  МЫ – ВАРТОВЧАНЕ!</w:t>
      </w:r>
    </w:p>
    <w:p w:rsidR="00F93050" w:rsidRDefault="00F93050" w:rsidP="004A5BB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4A5BB7" w:rsidRPr="00F93050" w:rsidRDefault="00E80AF7" w:rsidP="004A5BB7">
      <w:pPr>
        <w:jc w:val="center"/>
        <w:rPr>
          <w:rFonts w:ascii="Arial" w:hAnsi="Arial" w:cs="Arial"/>
          <w:b/>
          <w:bCs/>
          <w:color w:val="FFFFFF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Нижневартовск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 </w:t>
      </w:r>
      <w:r w:rsidR="00913B08" w:rsidRPr="00913B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2012</w:t>
      </w:r>
      <w:r>
        <w:rPr>
          <w:rFonts w:ascii="Arial" w:hAnsi="Arial" w:cs="Arial"/>
          <w:b/>
          <w:bCs/>
          <w:color w:val="FFFFFF"/>
        </w:rPr>
        <w:t> </w:t>
      </w:r>
    </w:p>
    <w:p w:rsidR="00823216" w:rsidRPr="00293403" w:rsidRDefault="00F528D5" w:rsidP="00256B55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  <w:r w:rsidR="00823216" w:rsidRPr="00293403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Законодательные акты Российской Федерации, регламентирующие работу муниципальных органов власти, а также иные федеральные правовые акты по противодействию экстремизму:</w:t>
      </w:r>
    </w:p>
    <w:p w:rsidR="00823216" w:rsidRPr="00823216" w:rsidRDefault="00823216" w:rsidP="00823216">
      <w:pPr>
        <w:pStyle w:val="ab"/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216">
        <w:rPr>
          <w:rFonts w:ascii="Times New Roman" w:eastAsia="Times New Roman" w:hAnsi="Times New Roman" w:cs="Times New Roman"/>
          <w:sz w:val="28"/>
          <w:szCs w:val="28"/>
        </w:rPr>
        <w:t>Федеральный закон от 25 июля 2002 г. N 114-ФЗ “О противодействии экстремистской деятельности” (с изменениями от 27 июля 2006 г., 10 мая, 24 июля 2007 г., 29 апреля 2008 г.)</w:t>
      </w:r>
    </w:p>
    <w:p w:rsidR="00823216" w:rsidRPr="00823216" w:rsidRDefault="00823216" w:rsidP="00823216">
      <w:pPr>
        <w:pStyle w:val="ab"/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216">
        <w:rPr>
          <w:rFonts w:ascii="Times New Roman" w:eastAsia="Times New Roman" w:hAnsi="Times New Roman" w:cs="Times New Roman"/>
          <w:sz w:val="28"/>
          <w:szCs w:val="28"/>
        </w:rPr>
        <w:t>Федеральный закон от 6 октября 2003 г. N 131-ФЗ “Об общих принципах организации местного самоуправления в Российской Федерации” (с изменениями и дополнениями) (Извлечения)</w:t>
      </w:r>
    </w:p>
    <w:p w:rsidR="00823216" w:rsidRPr="00823216" w:rsidRDefault="00823216" w:rsidP="00823216">
      <w:pPr>
        <w:pStyle w:val="ab"/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216">
        <w:rPr>
          <w:rFonts w:ascii="Times New Roman" w:eastAsia="Times New Roman" w:hAnsi="Times New Roman" w:cs="Times New Roman"/>
          <w:sz w:val="28"/>
          <w:szCs w:val="28"/>
        </w:rPr>
        <w:t>Федеральный закон от 6 октября 1999 г. N 184-ФЗ “Об общих принципах организации законодательных (представительных) и исполнительных органов государственной власти субъектов Российской Федерации” (с изменениями и дополнениями) (Извлечения</w:t>
      </w:r>
    </w:p>
    <w:p w:rsidR="00823216" w:rsidRPr="00823216" w:rsidRDefault="00823216" w:rsidP="00823216">
      <w:pPr>
        <w:pStyle w:val="ab"/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216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7 августа 2001 г. N 115-ФЗ “О противодействии легализации (отмыванию) доходов, полученных преступным путем, и финансированию терроризма” (с изменениями и дополнениями) (Извлечения) </w:t>
      </w:r>
    </w:p>
    <w:p w:rsidR="00823216" w:rsidRPr="00823216" w:rsidRDefault="00823216" w:rsidP="00823216">
      <w:pPr>
        <w:pStyle w:val="ab"/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216">
        <w:rPr>
          <w:rFonts w:ascii="Times New Roman" w:eastAsia="Times New Roman" w:hAnsi="Times New Roman" w:cs="Times New Roman"/>
          <w:sz w:val="28"/>
          <w:szCs w:val="28"/>
        </w:rPr>
        <w:t>Федеральный закон от 7 февраля 2011 г. N 3-ФЗ “О полиции” (с изменениями и дополнениями) (Извлечения)</w:t>
      </w:r>
    </w:p>
    <w:p w:rsidR="00823216" w:rsidRPr="00823216" w:rsidRDefault="00823216" w:rsidP="00823216">
      <w:pPr>
        <w:pStyle w:val="ab"/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216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11 июля 2001 г. N 95-ФЗ “О политических партиях” (с изменениями и дополнениями) (Извлечения) </w:t>
      </w:r>
    </w:p>
    <w:p w:rsidR="00823216" w:rsidRPr="00823216" w:rsidRDefault="00823216" w:rsidP="00823216">
      <w:pPr>
        <w:pStyle w:val="ab"/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216">
        <w:rPr>
          <w:rFonts w:ascii="Times New Roman" w:eastAsia="Times New Roman" w:hAnsi="Times New Roman" w:cs="Times New Roman"/>
          <w:sz w:val="28"/>
          <w:szCs w:val="28"/>
        </w:rPr>
        <w:t>Федеральный закон от 12 января 1996 г. N 7-ФЗ “О некоммерческих организациях” (с изменениями и дополнениями) (Извлечения)</w:t>
      </w:r>
    </w:p>
    <w:p w:rsidR="00823216" w:rsidRPr="00823216" w:rsidRDefault="00823216" w:rsidP="00823216">
      <w:pPr>
        <w:pStyle w:val="ab"/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216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12 января 1996 г. N 10-ФЗ “О профессиональных союзах, их правах и гарантиях деятельности” (с изменениями и дополнениями) (Извлечения) </w:t>
      </w:r>
    </w:p>
    <w:p w:rsidR="00823216" w:rsidRPr="00823216" w:rsidRDefault="00823216" w:rsidP="00823216">
      <w:pPr>
        <w:pStyle w:val="ab"/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216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17 января 1992 г. N 2202-I “О прокуратуре Российской Федерации” (с изменениями и дополнениями)(Извлечения) </w:t>
      </w:r>
    </w:p>
    <w:p w:rsidR="00823216" w:rsidRPr="00823216" w:rsidRDefault="00823216" w:rsidP="00823216">
      <w:pPr>
        <w:pStyle w:val="ab"/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216">
        <w:rPr>
          <w:rFonts w:ascii="Times New Roman" w:eastAsia="Times New Roman" w:hAnsi="Times New Roman" w:cs="Times New Roman"/>
          <w:sz w:val="28"/>
          <w:szCs w:val="28"/>
        </w:rPr>
        <w:t>Федеральный закон от 19 мая 1995 г. N 82-ФЗ “Об общественных объединениях” (с изменениями и дополнениями) (Извлечения)</w:t>
      </w:r>
    </w:p>
    <w:p w:rsidR="00823216" w:rsidRPr="00823216" w:rsidRDefault="00823216" w:rsidP="00823216">
      <w:pPr>
        <w:pStyle w:val="ab"/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216">
        <w:rPr>
          <w:rFonts w:ascii="Times New Roman" w:eastAsia="Times New Roman" w:hAnsi="Times New Roman" w:cs="Times New Roman"/>
          <w:sz w:val="28"/>
          <w:szCs w:val="28"/>
        </w:rPr>
        <w:t>Федеральный закон от 25 июля 2002 г. N 115-ФЗ “О правовом положении иностранных граждан в Российской Федерации” (с изменениями и дополнениями) (Извлечения)</w:t>
      </w:r>
    </w:p>
    <w:p w:rsidR="00823216" w:rsidRPr="00823216" w:rsidRDefault="00823216" w:rsidP="00823216">
      <w:pPr>
        <w:pStyle w:val="ab"/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216">
        <w:rPr>
          <w:rFonts w:ascii="Times New Roman" w:eastAsia="Times New Roman" w:hAnsi="Times New Roman" w:cs="Times New Roman"/>
          <w:sz w:val="28"/>
          <w:szCs w:val="28"/>
        </w:rPr>
        <w:t>Федеральный закон от 26 сентября 1997 г. N 125-ФЗ “О свободе совести и о религиозных объединениях” (с изменениями и дополнениями) (Извлечения)</w:t>
      </w:r>
    </w:p>
    <w:p w:rsidR="00823216" w:rsidRPr="00823216" w:rsidRDefault="00823216" w:rsidP="00823216">
      <w:pPr>
        <w:pStyle w:val="ab"/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216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28 декабря 2010 г. N 390-ФЗ “О безопасности” (Извлечения) </w:t>
      </w:r>
    </w:p>
    <w:p w:rsidR="00823216" w:rsidRPr="00823216" w:rsidRDefault="00823216" w:rsidP="00823216">
      <w:pPr>
        <w:pStyle w:val="ab"/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216">
        <w:rPr>
          <w:rFonts w:ascii="Times New Roman" w:eastAsia="Times New Roman" w:hAnsi="Times New Roman" w:cs="Times New Roman"/>
          <w:sz w:val="28"/>
          <w:szCs w:val="28"/>
        </w:rPr>
        <w:t xml:space="preserve">Закон РФ от 27 декабря 1991 г. N 2124-I “О средствах массовой информации” (с изменениями и дополнениями) (Извлечения) </w:t>
      </w:r>
    </w:p>
    <w:p w:rsidR="00FD2BC4" w:rsidRDefault="00FD2BC4" w:rsidP="00D92106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A5BB7" w:rsidRDefault="004A5BB7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br w:type="page"/>
      </w:r>
    </w:p>
    <w:p w:rsidR="004A5BB7" w:rsidRPr="004A5BB7" w:rsidRDefault="004A5BB7" w:rsidP="004A5B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Муниципальные правовые акты, принятые органами местного самоуправления города Нижневартовска по профилактике экстремизма  в 2012 году:</w:t>
      </w:r>
    </w:p>
    <w:p w:rsidR="004A5BB7" w:rsidRPr="004A5BB7" w:rsidRDefault="004A5BB7" w:rsidP="004A5B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A5BB7" w:rsidRPr="004A5BB7" w:rsidRDefault="004A5BB7" w:rsidP="004A5B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 администрации города от 01.03.2012 №242 «О внесение </w:t>
      </w:r>
      <w:r w:rsidRPr="004A5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изменений в приложения 1, 2 к постановлению администрации города от </w:t>
      </w:r>
      <w:r w:rsidRPr="004A5BB7">
        <w:rPr>
          <w:rFonts w:ascii="Times New Roman" w:eastAsia="Times New Roman" w:hAnsi="Times New Roman" w:cs="Times New Roman"/>
          <w:sz w:val="28"/>
          <w:szCs w:val="28"/>
        </w:rPr>
        <w:t>26.09.2011 №1118 «О Меж</w:t>
      </w:r>
      <w:r w:rsidRPr="004A5BB7">
        <w:rPr>
          <w:rFonts w:ascii="Times New Roman" w:eastAsia="Times New Roman" w:hAnsi="Times New Roman" w:cs="Times New Roman"/>
          <w:bCs/>
          <w:sz w:val="28"/>
          <w:szCs w:val="28"/>
        </w:rPr>
        <w:t>ведомственной комиссии по профилактике экстремизма в городе Нижневартовске»;</w:t>
      </w:r>
    </w:p>
    <w:p w:rsidR="004A5BB7" w:rsidRPr="004A5BB7" w:rsidRDefault="004A5BB7" w:rsidP="004A5BB7">
      <w:pPr>
        <w:spacing w:after="0" w:line="240" w:lineRule="auto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>- распоряжение администрации города от 07.03.2012 №289-р «О проведении городского конкурса социальных роликов и принтов среди молодежи на тему гармонизации межнациональных отношений в обществе «Все мы - вартовчане!»;</w:t>
      </w:r>
    </w:p>
    <w:p w:rsidR="004A5BB7" w:rsidRPr="004A5BB7" w:rsidRDefault="004A5BB7" w:rsidP="004A5BB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>- решение Думы города Нижневартовска от 16.03.2012 №203 «Об одобрении внесения изменений в долгосрочную целевую программу «Профилактика экстремизма, гармонизация межкультурных, межэтнических и межконфессиональных отношений, укрепление толерантности в городе Нижневартовске на 2012-2014 годы»;</w:t>
      </w:r>
    </w:p>
    <w:p w:rsidR="004A5BB7" w:rsidRPr="004A5BB7" w:rsidRDefault="004A5BB7" w:rsidP="004A5BB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>- распоряжение администрации города от 22.03.2012 №388-р «О финансировании мероприятий долгосрочной целевой программы «Профилактика экстремизма, гармонизация межкультурных, межэтнических и межконфессиональных отношений, укрепление толерантности в городе Нижневартовске на 2012-2014 годы»;</w:t>
      </w:r>
    </w:p>
    <w:p w:rsidR="004A5BB7" w:rsidRPr="004A5BB7" w:rsidRDefault="004A5BB7" w:rsidP="004A5BB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>- постановление администрации города от 02.05.2012 №492</w:t>
      </w:r>
      <w:r w:rsidRPr="004A5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внесении изменений в приложение к постановлению администрации города от 21</w:t>
      </w:r>
      <w:r w:rsidRPr="004A5BB7">
        <w:rPr>
          <w:rFonts w:ascii="Times New Roman" w:eastAsia="Times New Roman" w:hAnsi="Times New Roman" w:cs="Times New Roman"/>
          <w:sz w:val="28"/>
          <w:szCs w:val="28"/>
        </w:rPr>
        <w:t xml:space="preserve">.04.2011 №403 «Об утверждении долгосрочной </w:t>
      </w:r>
      <w:r w:rsidRPr="004A5BB7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целевой программы «</w:t>
      </w:r>
      <w:r w:rsidRPr="004A5BB7">
        <w:rPr>
          <w:rFonts w:ascii="Times New Roman" w:eastAsia="Times New Roman" w:hAnsi="Times New Roman" w:cs="Times New Roman"/>
          <w:sz w:val="28"/>
          <w:szCs w:val="28"/>
        </w:rPr>
        <w:t xml:space="preserve">Профилактика экстремизма, гармонизация межкультурных, межэтнических и межконфессиональных отношений, укрепление </w:t>
      </w:r>
      <w:r w:rsidRPr="004A5BB7">
        <w:rPr>
          <w:rFonts w:ascii="Times New Roman" w:eastAsia="Times New Roman" w:hAnsi="Times New Roman" w:cs="Times New Roman"/>
          <w:color w:val="000000"/>
          <w:sz w:val="28"/>
          <w:szCs w:val="28"/>
        </w:rPr>
        <w:t>толерантности в городе Нижневартовске на 2012-2014 годы» (с изменениями от 11.10.2011 №1202);</w:t>
      </w:r>
    </w:p>
    <w:p w:rsidR="004A5BB7" w:rsidRPr="004A5BB7" w:rsidRDefault="004A5BB7" w:rsidP="004A5BB7">
      <w:pPr>
        <w:spacing w:after="0" w:line="240" w:lineRule="auto"/>
        <w:ind w:right="258" w:firstLine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bCs/>
          <w:sz w:val="28"/>
          <w:szCs w:val="28"/>
        </w:rPr>
        <w:t>- приказ управления культуры администрации города от 29.03.2012 №15 «О создании рабочей группы»</w:t>
      </w:r>
      <w:r w:rsidRPr="004A5B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4A5BB7">
        <w:rPr>
          <w:rFonts w:ascii="Times New Roman" w:eastAsia="Times New Roman" w:hAnsi="Times New Roman" w:cs="Times New Roman"/>
          <w:bCs/>
          <w:sz w:val="28"/>
          <w:szCs w:val="28"/>
        </w:rPr>
        <w:t>и проведении проверки муниципального бюджетного учреждения «Библиотечно-информационная система» на наличие системы контентной фильтрации на ПК и доступа к веб-сайтам экстремистского содержания (в соответствии с Федеральным списком экстремистских материалов);</w:t>
      </w:r>
    </w:p>
    <w:p w:rsidR="004A5BB7" w:rsidRPr="004A5BB7" w:rsidRDefault="004A5BB7" w:rsidP="004A5BB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>- решение Думы города Нижневартовска от 22.06.2012 №262 «Об одобрении внесения изменений в долгосрочную целевую программу «Профилактика экстремизма, гармонизация межкультурных, межэтнических и межконфессиональных отношений, укрепление толерантности в городе Нижневартовске на 2012-2014 годы»;</w:t>
      </w:r>
    </w:p>
    <w:p w:rsidR="004A5BB7" w:rsidRPr="004A5BB7" w:rsidRDefault="004A5BB7" w:rsidP="004A5B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>- постановление администрации города от 17.07.2012 №866 «О порядке предоставления субсидий социально ориентированным некоммерческим организациям на реализацию проектов, направленных на развитие межнационального диалога и укрепление гражданственности</w:t>
      </w:r>
      <w:r w:rsidRPr="004A5BB7">
        <w:rPr>
          <w:rFonts w:ascii="Times New Roman" w:eastAsia="Times New Roman" w:hAnsi="Times New Roman" w:cs="Times New Roman"/>
          <w:bCs/>
          <w:sz w:val="28"/>
          <w:szCs w:val="28"/>
        </w:rPr>
        <w:t>»;</w:t>
      </w:r>
    </w:p>
    <w:p w:rsidR="004A5BB7" w:rsidRPr="004A5BB7" w:rsidRDefault="004A5BB7" w:rsidP="004A5BB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>- постановление администрации города от 13.08.2012 №998</w:t>
      </w:r>
      <w:r w:rsidRPr="004A5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внесении изменений в постановление администрации города от 21</w:t>
      </w:r>
      <w:r w:rsidRPr="004A5BB7">
        <w:rPr>
          <w:rFonts w:ascii="Times New Roman" w:eastAsia="Times New Roman" w:hAnsi="Times New Roman" w:cs="Times New Roman"/>
          <w:sz w:val="28"/>
          <w:szCs w:val="28"/>
        </w:rPr>
        <w:t xml:space="preserve">.04.2011 </w:t>
      </w:r>
      <w:r w:rsidRPr="004A5B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№403 «Об утверждении долгосрочной </w:t>
      </w:r>
      <w:r w:rsidRPr="004A5BB7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целевой программы «</w:t>
      </w:r>
      <w:r w:rsidRPr="004A5BB7">
        <w:rPr>
          <w:rFonts w:ascii="Times New Roman" w:eastAsia="Times New Roman" w:hAnsi="Times New Roman" w:cs="Times New Roman"/>
          <w:sz w:val="28"/>
          <w:szCs w:val="28"/>
        </w:rPr>
        <w:t xml:space="preserve">Профилактика экстремизма, гармонизация межкультурных, межэтнических и межконфессиональных отношений, укрепление </w:t>
      </w:r>
      <w:r w:rsidRPr="004A5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толерантности в городе Нижневартовске на 2012-2014 годы» (с изменениями от 11.10.2011 №1202, 02.05.2012 №492). </w:t>
      </w:r>
      <w:r w:rsidRPr="004A5B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Название </w:t>
      </w:r>
      <w:r w:rsidRPr="004A5BB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долгосрочной </w:t>
      </w:r>
      <w:r w:rsidRPr="004A5B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целевой программы изменилось на ««</w:t>
      </w:r>
      <w:r w:rsidRPr="004A5BB7">
        <w:rPr>
          <w:rFonts w:ascii="Times New Roman" w:eastAsia="Times New Roman" w:hAnsi="Times New Roman" w:cs="Times New Roman"/>
          <w:sz w:val="28"/>
          <w:szCs w:val="28"/>
          <w:u w:val="single"/>
        </w:rPr>
        <w:t>Профилактика терроризма и экстремизма</w:t>
      </w:r>
      <w:r w:rsidRPr="004A5B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в городе Нижневартовске на 2012-2014 годы»;</w:t>
      </w:r>
    </w:p>
    <w:p w:rsidR="004A5BB7" w:rsidRPr="004A5BB7" w:rsidRDefault="004A5BB7" w:rsidP="004A5BB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>- распоряжение администрации города от 16.07.2012 №1221-р «О внесении изменений в приложение 2 к распоряжению администрации города от 26.10.2011 № 1685 - р «Об утверждении Положения о Координационном совете по национальным вопросам при администрации города Нижневартовска»;</w:t>
      </w:r>
    </w:p>
    <w:p w:rsidR="004A5BB7" w:rsidRPr="004A5BB7" w:rsidRDefault="004A5BB7" w:rsidP="004A5BB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>- распоряжение администрации города от 17.06.201</w:t>
      </w:r>
      <w:r w:rsidR="00256B5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BB7">
        <w:rPr>
          <w:rFonts w:ascii="Times New Roman" w:eastAsia="Times New Roman" w:hAnsi="Times New Roman" w:cs="Times New Roman"/>
          <w:sz w:val="28"/>
          <w:szCs w:val="28"/>
        </w:rPr>
        <w:t xml:space="preserve"> № 900-р «О внесении изменений в приложение 1 к распоряжению администрации города «О Комиссии по взаимодействию с религиозными объединениями при администрации города»;</w:t>
      </w:r>
    </w:p>
    <w:p w:rsidR="004A5BB7" w:rsidRPr="004A5BB7" w:rsidRDefault="004A5BB7" w:rsidP="004A5BB7">
      <w:pPr>
        <w:spacing w:after="0" w:line="240" w:lineRule="auto"/>
        <w:ind w:right="-1" w:firstLine="705"/>
        <w:rPr>
          <w:rFonts w:ascii="Times New Roman" w:eastAsia="Times New Roman" w:hAnsi="Times New Roman" w:cs="Times New Roman"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>- распоряжение администрации города от 23.07.2012 №1253-р «О внесении изменения в распоряжение администрации города от  22.03.2012 №388-р «О финансировании мероприятий долгосрочной целевой программы «Профилактика экстремизма, гармонизация межкультурных, межэтнических и межконфессиональных отношений, укрепление толерантности в городе Нижневартовске на 2012-2014 годы»;</w:t>
      </w:r>
    </w:p>
    <w:p w:rsidR="004A5BB7" w:rsidRPr="004A5BB7" w:rsidRDefault="004A5BB7" w:rsidP="004A5BB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>- распоряжение администрации города от 07.08.2012 №1356-р «О проведении городского конкурса проектов социально ориентированных некоммерческих организаций, направленных на развитие межнационального диалога и укрепление гражданственности, в городе Нижневартовске в 2012 году»;</w:t>
      </w:r>
    </w:p>
    <w:p w:rsidR="004A5BB7" w:rsidRPr="004A5BB7" w:rsidRDefault="004A5BB7" w:rsidP="004A5BB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>- распоряжение администрации города от 09.08.2012 №1363-р «О комплексных мероприятиях по взаимодействию с религиозными организациями города Нижневартовска на 2012-2013 годы»;</w:t>
      </w:r>
    </w:p>
    <w:p w:rsidR="004A5BB7" w:rsidRPr="004A5BB7" w:rsidRDefault="004A5BB7" w:rsidP="004A5B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>- распоряжение администрации города от 29.10.2012 №1802-р «Об итогах ежегодного городского конкурса проектов социально ориентированных некоммерческих организаций, направленных на развитие межнационального диалога и укрепление гражданственности, в городе Нижневартовске в 2012 году»;</w:t>
      </w:r>
    </w:p>
    <w:p w:rsidR="004A5BB7" w:rsidRPr="004A5BB7" w:rsidRDefault="004A5BB7" w:rsidP="004A5B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BB7">
        <w:rPr>
          <w:rFonts w:ascii="Times New Roman" w:eastAsia="Times New Roman" w:hAnsi="Times New Roman" w:cs="Times New Roman"/>
          <w:sz w:val="28"/>
          <w:szCs w:val="28"/>
        </w:rPr>
        <w:t>- распоряжение администрации города от 15.10.2012 №1710-р «О внесении изменений в распоряжение администрации города от 09.08.2012 №1363-р «О комплексных мероприятиях по взаимодействию с религиозными организациями города Нижневартовска на 2012-2013 годы».</w:t>
      </w:r>
    </w:p>
    <w:p w:rsidR="004A5BB7" w:rsidRPr="004A5BB7" w:rsidRDefault="004A5BB7" w:rsidP="004A5B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2BC4" w:rsidRDefault="00FD2BC4" w:rsidP="00D92106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FD2BC4" w:rsidRDefault="00FD2BC4" w:rsidP="00D92106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sectPr w:rsidR="00FD2BC4" w:rsidSect="00FD2BC4">
          <w:pgSz w:w="11906" w:h="16838"/>
          <w:pgMar w:top="1134" w:right="851" w:bottom="1134" w:left="1701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Экстремизм является одной из наиболее сложных социально-политических проблем современного российского общества, что связано, в первую очередь, с многообразием экстремистских проявлений, неоднородным составом организаций экстремистской направленности, которые оказывают дестабилизирующее влияние на социально-политическую обстановку в стране.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Под влиянием социальных, политических, экономических и иных факторов в молодежной среде, наиболее подверженных деструктивному влиянию, легче формируются радикальные взгляды и убеждения. Таким образом, молодые граждане пополняют ряды экстремистских и террористических организаций, которые активно используют российскую молодежь в своих политических интересах.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Молодежная среда в силу своих социальных характеристик и остроты восприятия окружающей обстановки является той частью общества, в которой наиболее быстро происходит накопление и реализация негативного протестного потенциала.</w:t>
      </w:r>
      <w:r w:rsidR="00654445" w:rsidRPr="00A94F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 последние годы отмечается активизация ряда экстремистских движений, которые вовлекают в свою деятельность молодых людей. По экспертным оценкам, в среднем 80 процентов участников организаций экстремистского характера составляют лица, возраст которых не превышает 30 лет.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течение последних лет в ряде регионов России активизировались неформальные молодежные группировки право- и леворадикальной направленности, участились случаи нападения на иностранных граждан со стороны активистов молодежных группировок скинхедов. По данным ряда социологических исследований, в настоящее время изменилась не только динамика нападений экстремистски настроенных молодых людей, но претерпела изменения и тактика подобных акций. Отмечается тревожная тенденция увеличения смертельных исходов в результате националистически мотивированного насилия. Данные тенденции стремятся использовать в своих интересах представители партий и движений, активно разыгрывающих «национальную карту» и пытающихся привлечь на свою сторону скинхедов и членов группировок футбольных фанатов. Как правило, данная категория молодых людей имеет хорошую физическую подготовку и навыки рукопашного боя, в том числе с применением холодного оружия и подручных средств (арматура, бутылки и т.п.).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активизировались неформальные молодежные «антифашистские» группы, объединяющие представителей различных молодежных субкультур, основанных на увлечении каким-либо музыкальным течением или альтернативными видами спорта, основная деятельность которых заключается в проведении силовых акций и пропагандистского воздействия в отношении скинхедов и организации массовых общественно-политических акций. Участники движения «антифа» являются сторонниками так называемых акций прямого действия, в которых применяют холодное и травматическое оружие, а также различные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подручные средства. При этом зачастую члены движения «антифа» нарушают действующее законодательство и создают конфликтные ситуации с сотрудниками правоохранительных органов.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Заметно активизировались попытки иностранных неправительственных некоммерческих организаций и международных организаций по использованию молодежи для осуществления деятельности, направленной на трансформацию политической системы России.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этой связи при разработке методических рекомендаций были учтены современные взгляды на явление экстремизма в российском обществе.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Следует выделить основные </w:t>
      </w:r>
      <w:r w:rsidRPr="00A94F05">
        <w:rPr>
          <w:rFonts w:ascii="Times New Roman" w:eastAsia="Times New Roman" w:hAnsi="Times New Roman" w:cs="Times New Roman"/>
          <w:i/>
          <w:iCs/>
          <w:sz w:val="28"/>
          <w:szCs w:val="28"/>
        </w:rPr>
        <w:t>особенности экстремизма в молодежной среде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1A04" w:rsidRPr="00A94F05" w:rsidRDefault="00181A04" w:rsidP="00A94F0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Во-первых, экстремизм формируется преимущественно в маргинальной среде. Он постоянно подпитывается неопределенностью положения молодого человека и его неустановившимися взглядами на происходящее. </w:t>
      </w:r>
    </w:p>
    <w:p w:rsidR="00181A04" w:rsidRPr="00A94F05" w:rsidRDefault="00181A04" w:rsidP="00A94F0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Во-вторых,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 </w:t>
      </w:r>
    </w:p>
    <w:p w:rsidR="00181A04" w:rsidRPr="00A94F05" w:rsidRDefault="00181A04" w:rsidP="00A94F0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В-третьих, 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 </w:t>
      </w:r>
    </w:p>
    <w:p w:rsidR="00181A04" w:rsidRPr="00A94F05" w:rsidRDefault="00181A04" w:rsidP="00A94F0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В-четвертых, данный феномен характерен для общностей не столько с так называемым «низким уровнем культуры», сколько с культурой разорванной, деформированной, не являющей собой целостности. </w:t>
      </w:r>
    </w:p>
    <w:p w:rsidR="00181A04" w:rsidRPr="00A94F05" w:rsidRDefault="00181A04" w:rsidP="00A94F0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В-пятых,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Причиной возникновения экстремистских проявлений в молодежной среде, можно выделить следующие особо значимые факторы: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 и т.д.). 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Криминализация ряда сфер общественной жизни (в молодежной среде это выражается в широком вовлечении молодых людей в криминальные сферы бизнеса и т.п.). 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Изменение ценностных ориентаций (значительную опасность представляют зарубежные и религиозные организации и секты, насаждающие религиозный фанатизм и экстремизм, отрицание норм и конституционных обязанностей, а также чуждые российскому обществу ценности). 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Проявление так называемого «исламского фактора» (пропаганда среди молодых мусульман России идей религиозного экстремизма,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организация выезда молодых мусульман на обучение в страны исламского мира, где осуществляется вербовочная работа со стороны представителей международных экстремистских и террористических организаций). 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целей). 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 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направленности). 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сети Интернет в противоправных целях (обеспечивает радикальным общественным организациям доступ к широкой аудитории и пропагандесвоей деятельности, возможность размещения подробной информации о своих целях и задачах, времени и месте встреч, планируемых акциях).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При организации работы по профилактике молодежного экстремизма необходимо учитывать, что она представляет собой систему, включающую несколько уровней:</w:t>
      </w:r>
    </w:p>
    <w:p w:rsidR="00181A04" w:rsidRPr="00A94F05" w:rsidRDefault="00181A04" w:rsidP="00A94F05">
      <w:pPr>
        <w:numPr>
          <w:ilvl w:val="0"/>
          <w:numId w:val="3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Вся молодежь, проживающая на территории России. На этом уровне необходимо осуществление общепрофилактических мероприятий, ориентированных на повышение жизненных возможностей молодых людей, снижение чувства незащищенности, невостребованности, создание условий для их полноценной самореализации и жизнедеятельности. </w:t>
      </w:r>
    </w:p>
    <w:p w:rsidR="00181A04" w:rsidRPr="00A94F05" w:rsidRDefault="00181A04" w:rsidP="00A94F05">
      <w:pPr>
        <w:numPr>
          <w:ilvl w:val="0"/>
          <w:numId w:val="3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Молодежь, находящаяся в ситуации возможного «попадания» в поле экстремистской активности (молодежь в «зоне риска»). В данном контексте деятельность по профилактике экстремистских проявлений в молодежной среде должна быть направлена на молодых людей, чья жизненная ситуация позволяет предположить возможность их включения в поле экстремистской активности. К таким категориям могут быть отнесены: </w:t>
      </w:r>
    </w:p>
    <w:p w:rsidR="00181A04" w:rsidRPr="00A94F05" w:rsidRDefault="00181A04" w:rsidP="00A94F05">
      <w:pPr>
        <w:numPr>
          <w:ilvl w:val="0"/>
          <w:numId w:val="4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выходцы из неблагополучных, социально-дезориентированных семей, с низким социально-экономическим статусом, недостаточным интеллектуальным уровнем, имеющим склонность к трансляции девиаций (алкоголизм, наркомания, физическое и морально-нравственное насилие); </w:t>
      </w:r>
    </w:p>
    <w:p w:rsidR="00181A04" w:rsidRPr="00A94F05" w:rsidRDefault="00181A04" w:rsidP="00A94F05">
      <w:pPr>
        <w:numPr>
          <w:ilvl w:val="0"/>
          <w:numId w:val="4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«золотая молодежь», склонная к безнаказанности и вседозволенности, экстремальному досугу и рассматривающая участие в экстремистской субкультуре как естественную форму времяпрепровождения; </w:t>
      </w:r>
    </w:p>
    <w:p w:rsidR="00181A04" w:rsidRPr="00A94F05" w:rsidRDefault="00181A04" w:rsidP="00A94F05">
      <w:pPr>
        <w:numPr>
          <w:ilvl w:val="0"/>
          <w:numId w:val="4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дети, подростки, молодежь, имеющие склонность к агрессии, силовому методу решения проблем и споров, с неразвитыми навыками рефлексии и саморегуляции; </w:t>
      </w:r>
    </w:p>
    <w:p w:rsidR="00181A04" w:rsidRPr="00A94F05" w:rsidRDefault="00181A04" w:rsidP="00A94F05">
      <w:pPr>
        <w:numPr>
          <w:ilvl w:val="0"/>
          <w:numId w:val="4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носители молодежных субкультур, участники неформальных объединений и склонных к девиациям уличных компаний; </w:t>
      </w:r>
    </w:p>
    <w:p w:rsidR="00181A04" w:rsidRPr="00A94F05" w:rsidRDefault="00181A04" w:rsidP="00A94F05">
      <w:pPr>
        <w:numPr>
          <w:ilvl w:val="0"/>
          <w:numId w:val="4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члены экстремистских политических, религиозных организаций, движений, сект.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профилактической работы важно учитывать социально-экономические и возрастные особенности разных периодов, в которых оказываются подростки и молодежь.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 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 время подросток озабочен желанием найти свою группу, поиском собственной идентичности, которая формируется по самой примитивной схеме «мы»— «они». Также ему присуща неустойчивая психика, легко подверженная внушению и манипулированию. В социальном плане большинство молодых людей в возрасте от 14 до 22 лет оказываются в позиции маргиналов, когда их поведение не определено практически никакими социально-экономическими факторами (семья, собственность, перспективная постоянная работа и др.). Молодые люди, продолжая образование, покидают школу, семью, уезжают в другой город или регион, оказываясь в ситуации и свободы, и социальной незащищенности. В итоге молодой человек мобилен, готов к экспериментам, участию в акциях, митингах, погромах. При этом готовность к подобным действиям усиливается из-за его низкой материальной обеспеченности, в связи с чем участие в проплаченных кем-либо акциях протеста может рассматриваться как допустимая возможность дополнительного заработка. Поиск идентичности, попытки закрепиться в жизни ведут к неуверенности, желанию сформировать круг близких по духу людей, найти ответственного за все беды и неудачи. Таким кругом вполне может стать экстремистская субкультура, неформальное объединение, политическая радикальная организация или тоталитарная секта, дающая им простой и конкретный ответ на вопросы: «Что делать?» и «Кто виноват?».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последнее время в сети Интернет представителями националистических организаций, создан ряд ресурсов, на которых пропагандируется разжигание межнациональной, расовой и религиозной вражды путем проведения Интернет-игр под общим названием «Большая игра. Сломай систему!». Целью указанной игры является пропаганда идей национал-социализма и совершение в рамках ее правил одновременных согласованных действий, в том числе по флэшмоб-технологии, выражающихся в провокационных и противоправных групповых проявлениях (от нанесения националистических символов и нацистской символики до проведения силовых акций в отношении лиц «неславянской внешности» и представителей правоохранительных органов).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Причины привлекательности флэшмоб-технологии для экстремистских и деструктивных организаций и движений:</w:t>
      </w:r>
    </w:p>
    <w:p w:rsidR="00181A04" w:rsidRPr="00A94F05" w:rsidRDefault="00181A04" w:rsidP="00A94F05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акций по флэшмоб-технологии практически не подпадают под действие законодательства Российской Федерации. Их участникам можно предъявить лишь косвенные обвинения, связанные, в основном, с нарушением общественною порядка, а организаторы остаются вне поля административно-уголовной ответственности; </w:t>
      </w:r>
    </w:p>
    <w:p w:rsidR="00181A04" w:rsidRPr="00A94F05" w:rsidRDefault="00181A04" w:rsidP="00A94F05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проведению акций по флэшмоб-технологии характеризуйся высоким уровнем скрытности, что осложняет их своевременное выявление и предупреждение. Также затруднительно установить заказчиков и организаторов акций; </w:t>
      </w:r>
    </w:p>
    <w:p w:rsidR="00181A04" w:rsidRPr="00A94F05" w:rsidRDefault="00181A04" w:rsidP="00A94F05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перерастания рядовой акции по флэшмоб-технологии в экстремистскую или протестную путем осуществления заранее спланированных организационных мер и психологического воздействия на большое количество людей; </w:t>
      </w:r>
    </w:p>
    <w:p w:rsidR="00181A04" w:rsidRPr="00A94F05" w:rsidRDefault="00181A04" w:rsidP="00A94F05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целевая аудитория акций по флэшмоб-технологии— это наиболее активная часть населения— молодежь, у которой система жизненных ценностей еще до конца не сформировалась, ей традиционно присущи определенный нигилизм, переоценка собственных возможностей и желание самовыражения. Этим при умелом манипулировании могут эффективно воспользоваться экстремисты и политтехнологи в противоправных целях; </w:t>
      </w:r>
    </w:p>
    <w:p w:rsidR="00181A04" w:rsidRPr="00A94F05" w:rsidRDefault="00181A04" w:rsidP="00A94F05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акции по флэшмоб-технологии, зачастую, могут выполнять «детонирующую» функцию: немноголюдные поначалу, они в короткий промежуток времени вовлекают в процесс посторонних людей— наблюдателей и прохожих, которые становятся сочувствующими; </w:t>
      </w:r>
    </w:p>
    <w:p w:rsidR="00181A04" w:rsidRPr="00A94F05" w:rsidRDefault="00181A04" w:rsidP="00A94F05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богатый опыт проведения акций по флэшмоб-технологии в России и за рубежом свидетельствует о том, что эта технология уже хорошо отработана и ее следует считать одним из средств, которое может применяться при проведении мероприятий экстремистского характера.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этой связи основные действия по снижению экстремистских проявлений в молодежной среде должны быть ориентированы на:</w:t>
      </w:r>
    </w:p>
    <w:p w:rsidR="00181A04" w:rsidRPr="00A94F05" w:rsidRDefault="00181A04" w:rsidP="00A94F05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оптимизацию социальной среды (в целом), в которой находятся молодые россияне, ее улучшение, создание в ней пространств для конструктивного взаимодействия, стимулирования у молодежи положительных эмоций от участия в реализации социальных проектов, от анализа достижимых перспектив, а также от реального опыта решения проблем молодого поколения; </w:t>
      </w:r>
    </w:p>
    <w:p w:rsidR="00181A04" w:rsidRPr="00A94F05" w:rsidRDefault="00181A04" w:rsidP="00A94F05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механизмов оптимизации молодежного экстремистского поля, разработку методов его разрушения, организацию на его месте конструктивных социальных зон; </w:t>
      </w:r>
    </w:p>
    <w:p w:rsidR="00181A04" w:rsidRPr="00A94F05" w:rsidRDefault="00181A04" w:rsidP="00A94F05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механизмов эффективного влияния на процесс социализации личности молодого человека, включения его в социокультурное пространство ближайшего сообщества и социума в целом. Итогом такой работы должно стать формирование толерантной,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ответственной, успешной личности, ориентированной на ценности гражданственности и патриотизма; </w:t>
      </w:r>
    </w:p>
    <w:p w:rsidR="00181A04" w:rsidRPr="00A94F05" w:rsidRDefault="00181A04" w:rsidP="00A94F05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разработку системы психокоррекционной работы, нацеленной на профилактику ненормативной агрессии, развитие умений социального взаимодействия, рефлексии, саморегуляции, формирование навыков толерантного поведения, выхода из деструктивных культов, организаций, субкультур.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Взаимодействие объекта и предмета профилактической работы может быть описано следующей моделью (таблица 1).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Представленная матрица позволяет оптимизировать деятельность по профилактике экстремизма в молодежной среде, распределив «зоны ответственности» между различными уровнями власти. На основе взаимодействия объекта и предмета профилактики могут быть сформулированы цели и задачи этой деятельности:</w:t>
      </w:r>
    </w:p>
    <w:p w:rsidR="00181A04" w:rsidRPr="00A94F05" w:rsidRDefault="00181A04" w:rsidP="00A94F05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снижения агрессии, напряженности, экстремистской активности в среде молодежи; </w:t>
      </w:r>
    </w:p>
    <w:p w:rsidR="00181A04" w:rsidRPr="00A94F05" w:rsidRDefault="00181A04" w:rsidP="00A94F05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воспитания успешной, эффективной, толерантной, патриотичной, социально ответственной личности; </w:t>
      </w:r>
    </w:p>
    <w:p w:rsidR="00181A04" w:rsidRPr="00A94F05" w:rsidRDefault="00181A04" w:rsidP="00A94F05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повышения жизненных шансов подростков и молодежи, оказавшихся в сложной жизненной ситуации; </w:t>
      </w:r>
    </w:p>
    <w:p w:rsidR="00181A04" w:rsidRPr="00A94F05" w:rsidRDefault="00181A04" w:rsidP="00A94F05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развитие конструктивной социальной активности подростков и молодежи; </w:t>
      </w:r>
    </w:p>
    <w:p w:rsidR="00181A04" w:rsidRPr="00A94F05" w:rsidRDefault="00181A04" w:rsidP="00A94F05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развитие позитивных молодежных субкультур, общественных объединений, движений, групп; </w:t>
      </w:r>
    </w:p>
    <w:p w:rsidR="00181A04" w:rsidRPr="00A94F05" w:rsidRDefault="00181A04" w:rsidP="00A94F05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альтернативных форм реализации экстремального потенциала молодежи.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 1. Модель взаимодействия объекта и предмета деятельности по профилактике экстремизма в молодежной среде</w:t>
      </w:r>
    </w:p>
    <w:tbl>
      <w:tblPr>
        <w:tblStyle w:val="a8"/>
        <w:tblW w:w="5000" w:type="pct"/>
        <w:tblLook w:val="04A0"/>
      </w:tblPr>
      <w:tblGrid>
        <w:gridCol w:w="2109"/>
        <w:gridCol w:w="3527"/>
        <w:gridCol w:w="3934"/>
      </w:tblGrid>
      <w:tr w:rsidR="00181A04" w:rsidRPr="00A94F05" w:rsidTr="006438B9">
        <w:tc>
          <w:tcPr>
            <w:tcW w:w="906" w:type="pct"/>
            <w:vMerge w:val="restart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 профилактики</w:t>
            </w:r>
          </w:p>
        </w:tc>
        <w:tc>
          <w:tcPr>
            <w:tcW w:w="4047" w:type="pct"/>
            <w:gridSpan w:val="2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Объект профилактики</w:t>
            </w:r>
          </w:p>
        </w:tc>
      </w:tr>
      <w:tr w:rsidR="00181A04" w:rsidRPr="00A94F05" w:rsidTr="006438B9">
        <w:tc>
          <w:tcPr>
            <w:tcW w:w="906" w:type="pct"/>
            <w:vMerge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8" w:type="pct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Молодежь в целом</w:t>
            </w:r>
          </w:p>
        </w:tc>
        <w:tc>
          <w:tcPr>
            <w:tcW w:w="0" w:type="auto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Молодежные группы, находящиеся в зоне риска</w:t>
            </w:r>
          </w:p>
        </w:tc>
      </w:tr>
      <w:tr w:rsidR="00181A04" w:rsidRPr="00A94F05" w:rsidTr="006438B9">
        <w:tc>
          <w:tcPr>
            <w:tcW w:w="906" w:type="pct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Улучшение среды</w:t>
            </w:r>
          </w:p>
        </w:tc>
        <w:tc>
          <w:tcPr>
            <w:tcW w:w="1918" w:type="pct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Оптимизация молодежной среды в целом</w:t>
            </w:r>
          </w:p>
        </w:tc>
        <w:tc>
          <w:tcPr>
            <w:tcW w:w="0" w:type="auto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внедрение методов разрушения экстремистского пространства, создание на его месте конструктивных социальных зон для молодежи</w:t>
            </w:r>
          </w:p>
        </w:tc>
      </w:tr>
      <w:tr w:rsidR="00181A04" w:rsidRPr="00A94F05" w:rsidTr="006438B9">
        <w:tc>
          <w:tcPr>
            <w:tcW w:w="906" w:type="pct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sz w:val="28"/>
                <w:szCs w:val="28"/>
              </w:rPr>
              <w:t>Воздействие на личность</w:t>
            </w:r>
          </w:p>
        </w:tc>
        <w:tc>
          <w:tcPr>
            <w:tcW w:w="1918" w:type="pct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толерантной, ответственной, успешной личности, ориентированной на ценности гражданственности и патриотизма</w:t>
            </w:r>
          </w:p>
        </w:tc>
        <w:tc>
          <w:tcPr>
            <w:tcW w:w="0" w:type="auto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системы психокоррекционной работы, ориентированной на профилактику ненормативной агрессии и экстремистской активности</w:t>
            </w:r>
          </w:p>
        </w:tc>
      </w:tr>
    </w:tbl>
    <w:p w:rsidR="00181A04" w:rsidRPr="00A94F05" w:rsidRDefault="00181A04" w:rsidP="00A94F05">
      <w:pPr>
        <w:tabs>
          <w:tab w:val="left" w:pos="567"/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При организации системной работы по профилактике молодежного экстремизма возможно использование нескольких моделей, оптимизирующих данный вид деятельности. Предлагаемые модели основаны на нескольких базовых предположениях.</w:t>
      </w:r>
    </w:p>
    <w:p w:rsidR="00181A04" w:rsidRPr="00A94F05" w:rsidRDefault="00181A04" w:rsidP="00A94F05">
      <w:pPr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Во-первых, необходимо учитывать тот факт, что непосредственная, прямая профилактика не дает практически никакого эффекта. В связи с чем необходимо выстраивать систему этой деятельности с опорой на косвенные, «мягкие» методы и формы работы, оптимизирующие и среду, и личность. </w:t>
      </w:r>
    </w:p>
    <w:p w:rsidR="00181A04" w:rsidRPr="00A94F05" w:rsidRDefault="00181A04" w:rsidP="00A94F05">
      <w:pPr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Во-вторых, как уже отмечалось, главное внимание должно быть сосредоточено на особой социально-психологической ситуации в жизни любого человека, которая приходится на возрастной период от 14 до 22 лет. </w:t>
      </w:r>
    </w:p>
    <w:p w:rsidR="00181A04" w:rsidRPr="00A94F05" w:rsidRDefault="00181A04" w:rsidP="00A94F05">
      <w:pPr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В-третьих, в основе организации системы профилактической работы, особенно с группами лиц, пребывающими в кризисном возрасте, должна лежать идея управляемой социализации, когда социально-психологические процессы, происходящие с подростком, профессионально сопровождаются соответствующими специалистами, при чем не всегда являющимися представителями официальных институтов.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Возможные модели профилактики экстремизма. </w:t>
      </w:r>
    </w:p>
    <w:p w:rsidR="00181A04" w:rsidRPr="00A94F05" w:rsidRDefault="00181A04" w:rsidP="00A94F05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1. Модель профилактики, основанная на усилении роли традиционных институтов социализации.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основе данной модели лежит идея рационального сокращения свободного, неконтролируемого пространства социализации молодого человека. Действия органов власти должны быть направлены на усиление и интеграцию воспитательного воздействия семьи, школы, учреждений профессионального образования различного уровня, общественных объединений, средств массовой информации. Жизнедеятельность подростка или молодого человека протекает в искусственно созданных конструктивных, позитивных полях, в рамках которых происходит его взросление, усвоение норм и стереотипов поведения в обществе, решение важнейших мировоззренческих проблем. Основным ресурсом данной модели является система образования, представляющая собой наиболее организованный, проникающий практически во все сферы жизнедеятельности общества, институт.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основе модели лежит средовой подход, когда государством и местным самоуправлением создаются такие условия для молодого человека, которые существенно снижают проявления экстремисткой активности. Для успешной реализации модели необходимо создание и развитие позитивных молодежных средств массовой информации (при полном обеспечении этими СМИ свободы печати), способных выполнять гражданскую, социализирующую функцию.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Важное место в общей системе профилактики отводится деятельности детских и молодежных общественных объединений, задачей которых является организация позитивного развивающего досуга подростков и молодежи. Чтобы их деятельность была эффективной и привлекательной для молодого поколения требуется оказание органами власти системной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комплексной поддержки подобным объединениям. Это позволит развить материально-техническую базу, кадровый, социальный, творческий потенциал общественных организаций.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Данная модель может рассматриваться как вариант оперативного вмешательства государства в ситуацию в случае роста экстремистских проявлений в молодежной среде. Также данная модель может быть применена и в отдельных регионах, находящихся на периферии, где слабо развито общественное молодежное движение, и процесс социализации молодого поколения, в основном, протекает в рамках традиционных институтов.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Реализация данной модели предполагает формирование правового сознания молодежи, ее информирование о правовых последствиях участия в экстремистской деятельности (приложение).</w:t>
      </w:r>
    </w:p>
    <w:p w:rsidR="00181A04" w:rsidRPr="00A94F05" w:rsidRDefault="00181A04" w:rsidP="00A94F05">
      <w:pPr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2. Модель профилактической работы, ориентированная на снижение деструктивного потенциала молодежных субкультур.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основе данной модели лежит деятельность государства и местного самоуправления по разработке механизмов, направленных на оптимизацию функционирования разнообразных молодежных сообществ, являющихся носителями тех или иных субкультур, существующих в современной России. Молодое поколение переживает сегодня бурный рост разнообразных неформальных молодежных объединений, движений, групп, объединяющихся по самым разным основаниям. Некоторые из этих субкультур носят ярко выраженный экстремистский характер.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Сегодня именно молодежные субкультуры могут рассматриваться как структуры, формирующие и реализующие экстремистскую активность. В связи с этим профилактика экстремизма в молодежной среде может идти в направлении снижения деструктивного потенциала молодежных субкультур. Учитывая изложенное, можно выделить две базовые стратегии реализации данной модели.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Во-первых, это деятельность, ориентированная на разрушение и/или переориентацию молодежных субкультур, осуществляемая специалистами. В этих целях необходимо создавать поля для реализации агрессивных, экстремальных проявлений молодых людей, удерживая их в рамках действующего законодательства и социальных норм. Наиболее успешно эта стратегия может быть реализована через развитие экстремальных видов спорта, содержащих элементы риска— альпинизм, спидвэй, сноуборд, паркур и т.д. При этом параллельно, там, где это возможно, происходит разрушение «управленческого ядра» носителей субкультуры, а также перевод молодежного сообщества в новое деятельностное русло позитивной направленности.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Во-вторых, деятельность, направленная на создание и внедрение в молодежное поле новых субкультур, являющихся социально позитивными или же имитирующих экстремистскую активность. Здесь органы власти создают и финансируют молодежное объединение, которое имеет привлекательный для молодежи образ, стиль отношений, тип деятельности и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вовлекает в сферу своего влияния максимально большое количество молодежи. Оптимальным выглядит создание нескольких таких движений, реализующих интересы и предпочтения разных категорий молодежи.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Особое внимание необходимо обратить на работу с объединениями спортивных болельщиков. Фанатские спортивные объединения в определенной степени становятся носителями экстремистских настроений в молодежной среде. В этой связи необходима продуманная работа с данной категорией молодежи.</w:t>
      </w:r>
    </w:p>
    <w:p w:rsidR="00181A04" w:rsidRPr="00CC01F0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01F0">
        <w:rPr>
          <w:rFonts w:ascii="Times New Roman" w:eastAsia="Times New Roman" w:hAnsi="Times New Roman" w:cs="Times New Roman"/>
          <w:i/>
          <w:sz w:val="28"/>
          <w:szCs w:val="28"/>
        </w:rPr>
        <w:t>В этих целях рекомендуется:</w:t>
      </w:r>
    </w:p>
    <w:p w:rsidR="00181A04" w:rsidRPr="00A94F05" w:rsidRDefault="00181A04" w:rsidP="00A94F05">
      <w:pPr>
        <w:numPr>
          <w:ilvl w:val="0"/>
          <w:numId w:val="1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Проводить перед футбольными матчами рабочие встречи лидеров объединений болельщиков и офицеров по безопасности встречающихся команд с представителями органов внутренних дел. Данные встречи призваны учитывать мнение болельщиков, предупреждать возможные конфликтные ситуации, возникающие при проведении футбольных матчей. </w:t>
      </w:r>
    </w:p>
    <w:p w:rsidR="00181A04" w:rsidRPr="00A94F05" w:rsidRDefault="00181A04" w:rsidP="00A94F05">
      <w:pPr>
        <w:numPr>
          <w:ilvl w:val="0"/>
          <w:numId w:val="1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спортивных соревнований и мероприятий учитывать удобство их посещения болельщиками. В частности, когда это возможно проводить соревнования в нерабочее (более позднее) время, а также предусматривать предоставление билетов школьникам и студентам на мало посещаемые спортивные соревнования на безвозмездной или льготной основе. </w:t>
      </w:r>
    </w:p>
    <w:p w:rsidR="00181A04" w:rsidRPr="00A94F05" w:rsidRDefault="00181A04" w:rsidP="00A94F05">
      <w:pPr>
        <w:numPr>
          <w:ilvl w:val="0"/>
          <w:numId w:val="1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Создать горячую линию для болельщиков.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Данная модель профилактической работы имеет ряд положительных особенностей. Так, в частности, она базируется на использовании естественных процессов, происходящих в молодежной среде, что предполагает «мягкий» вариант профилактики экстремистской активности, учет интересов и предпочтений молодых людей. В то же время реализация данной модели затруднена из-за отсутствия подготовленных соответствующим образом специалистов, ограниченного числа специализированных учреждений, системно работающих с представителями молодежных субкультур, недостаточной информированностью государственных и муниципальных органов власти о молодежных субкультурах и процессах, протекающих в молодежных сообществах.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Профилактика экстремизма невозможна без целенаправленной работы по формированию межнациональных отношений в молодежной среде. Значительная часть экстремистских проявлений в молодежной среде происходит на межнациональной и религиозной почве (по данной проблеме Минспорттуризмом России будут подготовлены отдельные методические рекомендации).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последнее время экстремистские проявления значительно усилились в студенческой среде. Многие из них происходят на межнациональной почве. В целях профилактики экстремизма и формирования межнационального согласия в студенческой среде необходимо: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Повысить роль студенческих общественных объединений в жизни вуза, степень их влияния на процессы в студенческой среде.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Организовать в образовательных учреждениях факультативные курсы по изучению законодательства в сфере противодействия экстремизму, создать стенды антиэкстремистской направленности в корпусах учебных заведений и студенческих общежитиях, активнее привлекать органы правопорядка к этой работе.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мониторинг учебных программ и пособий с целью выявления материалов, направленных на разжигание межнациональных конфликтов.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Установить одним из критериев качества воспитательной работы в вузах количественный показатель, отражающий зависимость ее состояния от числа студентов, привлеченных к уголовной и, в отдельных случаях, к административной ответственности. Возможно также, что этот критерий должен учитываться при экспертизе показателей деятельности вузов для их государственной аккредитации.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Разработать и реализовать с участием национальных диаспор комплекс мероприятий по развитию межнационального диалога и интернационализма в студенческой среде, включая создание клубов интернациональной дружбы. 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Ввести в учебные программы образовательных учреждений преподавание основ межнационального общения и интернационального воспитания учащихся.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 рамках воспитательной работы образовательных учреждений усилить внимание к мероприятиям по пропаганде культуры и традиций народов России и обучению навыкам бесконфликтного общения, а также просвещению учащихся о социальной опасности преступлений на почве ненависти для российского общества.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Ввести в штат студенческих общежитий специалистов по воспитательной работе с иногородними и иностранными студентами.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Создавать в вузах добровольные интернациональные студенческие дружины для поддержания общественного порядка и предупреждения конфликтов на почве этнической неприязни на территории учебных заведений, общежитий и студенческих городков.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механизмы специальной системы подготовки кадров из числа представителей различных национальностей, обладающих общероссийским государственным самосознанием и менталитетом, в целях формирования нового поколения региональных элит. В этих целях необходимо более тщательно отбирать состав участников целевых наборов в вузы и создать систему поиска наиболее одаренных молодых людей в образовательных учреждениях с целью направления их на дальнейшее обучение в престижные вузы страны.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Элементы представленных моделей в той или иной степени реализуются в современной России. Например, органы по делам молодежи реализуют традиционную модель профилактики экстремистской активности, опираясь на деятельность учреждений по работе с молодежью, зарегистрированных молодежных объединений, пытаясь вовлечь подростков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и молодых людей в социально одобряемые формы активности, решить некоторые социально-экономические проблемы молодых людей. Наиболее оптимальным вариантом сегодня является синтетическая модель, включающая в себя основные элементы вышеописанных.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Основные направления функционирования системы профилактики экстремистской активности в молодежной среде:</w:t>
      </w:r>
    </w:p>
    <w:p w:rsidR="00181A04" w:rsidRPr="0018128A" w:rsidRDefault="00181A04" w:rsidP="0018128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28A">
        <w:rPr>
          <w:rFonts w:ascii="Times New Roman" w:hAnsi="Times New Roman" w:cs="Times New Roman"/>
          <w:b/>
          <w:sz w:val="28"/>
          <w:szCs w:val="28"/>
        </w:rPr>
        <w:t xml:space="preserve">1. Нормативно-правовое обеспечение системы профилактики экстремизма в молодежной среде.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Направление ориентировано на создание институциональных условий, снижающих риск вовлечения молодого поколения в экстремистскую активность. В основе данного направления лежит законотворческая работа, ориентированная на снижение социально-экономической напряженности в подростковой и молодежной среде, создание реальных возможностей для успешного жизненного старта молодого поколения, расширение возможностей для его самореализации. Данное направление предлагает осуществление следующих мероприятий: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принятие законодательных актов направленных на формирование условий для успешной социализации молодежи;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принятие подзаконных нормативно-правовых актов, направленных на: повышение жизненных шансов молодого поколения в образовании, трудоустройстве, жилье;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поддержку талантливой молодежи, поддержку молодежи, находящейся в трудной жизненной ситуации;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внедрение ювенальной юстиции как механизма защиты прав детей и молодежи, создания современного правового поля их жизнедеятельности;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нормативно-правовых актов, регламентирующих внедрение системы психологической «диспансеризации» детей, подростков и молодежи с целью проведения регулярных обследований молодого поколения на предмет выявления психических отклонений, негативных акцентуаций, ненормированной агрессии и склонности к девиациям, психологических проблем, связанных с неадекватной самооценкой и т.д.;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региональной целевой программы, направленной на профилактику экстремистских проявлений в молодежной среде;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или внесение в региональные нормативно-правовые акты, касающиеся поддержки детских и молодежных общественных объединений, изменений, предусматривающих введение в юридический оборот понятий: неформальное молодежное объединение, молодежная субкультура, модели, механизмы их поддержки и др.;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принятие региональных целевых программ, ориентированных на повышение жизненных шансов подростков и молодежи, находящихся в «зоне риска»;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муниципальных программ профилактики экстремистских проявлений в молодежной среде;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разработка нормативно-правовых актов, направленных на включение молодежи в управление муниципальным образованием через создание систем общественных советов, парламентов при органах местного самоуправления. </w:t>
      </w:r>
    </w:p>
    <w:p w:rsidR="00181A04" w:rsidRPr="00A94F05" w:rsidRDefault="00181A04" w:rsidP="0018128A">
      <w:pPr>
        <w:tabs>
          <w:tab w:val="left" w:pos="567"/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Научно-методическое и аналитическое обеспечение профилактики экстремизма в молодежной среде.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Успешная профилактика экстремизма в молодежной среде невозможна без эффективно действующей системы научно-методического и аналитического сопровождения этой работы. Направление ориентировано на создание технологий изучения молодежного экстремизма, создание системы мониторинга динамики его изменений, разработку адекватных современности форм и методов профилактической работы. В рамках данного направления предлагается осуществление следующих мероприятий: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исследовательского инструментария и проведение ежегодного мониторинга, направленного на изучение проблем и социального самочувствия детей, подростков, молодежи, исследование девиаций в молодежной среде, анализ деятельности и развития молодежных субкультур;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внедрение в практику системы государственных грантов, направленных на поддержку исследований и проектов, ориентированных на оптимизацию системы профилактики экстремистской активности в среде молодежи;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научно-практических конференций, посвященных, исследованию проблем молодежного экстремизма;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научного сообщества исследователей, занимающихся изучением проблем экстремального поведения, национализма, шовинизма, ксенофобии, развития толерантного самосознания среди молодежи;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разработка, издание и широкое распространение в субъектах Российской Федерации научных и научно-методических работ по проектированию и обеспечению функционирования системы профилактики экстремизма в молодежной среде;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тематического Интернет-ресурса для педагогов, психологов, социальных работников, руководителей и сотрудников молодежных центров, клубов, руководителей и актива молодежных общественных объединений, посвященного проблемам профилактики экстремистского поведения молодых людей;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при кафедрах социальной педагогики, социальной работы, социальной психологии вузов, действующих в соответствующем регионе, лабораторий по исследованию региональных аспектов проявлений молодежного экстремизма, радикального поведения, лабораторий изучения молодежных субкультур;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на базе государственных и муниципальных </w:t>
      </w:r>
      <w:r w:rsidR="00AD3593" w:rsidRPr="00A94F05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 по работе с молодежью, молодежных центров экспериментальных площадок по апробации инновационных форм профилактики молодежного экстремизма,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развитию методов «мягкого» управления молодежными субкультурами, ресоциализации их представителей;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реестра детских и молодежных субкультур, действующих на территории региона или муниципального образования с описанием их численности, основных видов и форм деятельности. </w:t>
      </w:r>
    </w:p>
    <w:p w:rsidR="00181A04" w:rsidRPr="00A94F05" w:rsidRDefault="00181A04" w:rsidP="0018128A">
      <w:pPr>
        <w:tabs>
          <w:tab w:val="left" w:pos="567"/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Создание системы альтернативных полей, площадок для реализации потенциала молодежи и включения ее в социально одобряемые виды деятельности.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Направление ориентировано на создание площадок, где в их рамках подросток и молодой человек будут иметь возможность удовлетворить свои потребности, которые в нереализованном виде могут стимулировать их участие в неформальных объединениях девиантной направленности.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Основные мероприятия данного направления: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актуализация в общественном сознании молодежи новой ценностной модели личности молодого россиянина, основанной на толерантности, культуре мира, патриотизме, гражданской ответственности;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механизмов для организованного включения молодых людей в экстремальные виды спорта путем образования региональных ассоциаций экстремальных видов спорта, проведение открытых чемпионатов для «экстремалов», организации специализированных спортивных смен в летних оздоровительных лагерях и др.;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учреждение молодежных СМИ (телеканал, радио, журналы, газеты), пропагандирующих толерантность, гражданственность, патриотизм, здоровый образ жизни, успешность и т.д. в среде молодежи;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активизация молодежных общественных движений, в основе деятельности которых лежит идея позитивного решения разнообразных молодежных проблем (к примеру, институционализация движений футбольных фанатов через их привлечение к организованным и социально контролируемым формам реализации собственной активности);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фестивалей молодежных музыкальных субкультур (панки, хиппи, рокеры, хип-хоп культура и т.д.);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проведение конкурса «Неформальные лидеры России», направленного на выявление, обучение и включение в общественно продуктивную деятельность лидеров неформальных молодежных объединений, групп, движений;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системы воспитательной работы с молодежью по месту жительства через создание организованных площадок для развивающего досуга молодежи;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эффективной системы центров реабилитации подростков и молодежи, оказавшихся в трудной жизненной ситуации;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развитие клубных форм работы, основанных на идеях неформальных отношений, демократизма, самоуправления и самоорганизации;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создание и развитие «уличных» служб работы с молодежью, специалисты которых могут осуществлять профилактическую деятельность непосредственно среди дворовых уличных групп и компаний;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развитие дворового спорта, организация и проведение соревнований по дворовому футболу, волейболу, стритболу и т.д.;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при студенческих общежитиях клубов и центров, организующих досуг обучающихся;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строительство площадок для занятий молодежью экстремальными видами спорта;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создание, развитие практической деятельности молодежных советов при органах власти, обеспечение их включения в реальные процессы управления развитием региона. </w:t>
      </w:r>
    </w:p>
    <w:p w:rsidR="00181A04" w:rsidRPr="00A94F05" w:rsidRDefault="00181A04" w:rsidP="0018128A">
      <w:pPr>
        <w:tabs>
          <w:tab w:val="left" w:pos="567"/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Кадровое и организационное обеспечение функционирования системы профилактики молодежного экстремизма.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Направление ориентировано на подготовку, профессиональную переподготовку, повышение квалификации специалистов, работающих с подростками и молодежью, в соответствии с особенностями современного этапа развития радикальных и экстремистских проявлений в молодежной среде. В рамках профильной образовательной деятельности необходимо пересмотреть цели, принципы, методы, формы обучения, а также стандарты, регламентирующие деятельность образовательных учреждений по подготовке специалистов для работы с молодежью.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Основные мероприятия данного направления: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на базе ведущих региональных университетов сети образовательных центров для подготовки, переподготовки и повышения квалификации специалистов по профилактике молодежного экстремизма; 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команды тренеров, использующих в образовательной деятельности инновационные методики профилактики экстремизма в молодежной среде; 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серии специализированных научно-методических изданий, посвященных проблеме молодежного экстремизма; 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подготовка подростковых и молодежных психиатров, способных осуществлять профилактические и оперативные действия, ориентированные на разрушение зависимого поведения, снижения уровня агрессии молодой личности и т.д.; 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профессиональной переподготовки или повышения квалификации школьных психологов, социальных работников, специалистов сферы работы с молодежью; 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повышение квалификации работников детских домов, социальных приютов, колоний для несовершеннолетних и т.д.; 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внедрение системы тренингов, позволяющих ознакомить практических работников молодежного профиля с инновационными способами и технологиями профилактики молодежного экстремизма; 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организация системы тренингов и семинаров для руководителей и актива детских и молодежных общественных объединений, координаторов молодежных движений региональных и местных отделений политических партий.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Все это позволит постепенно переориентировать тенденцию развития молодежного экстремизма в сторону его снижения, а также использовать потенциал молодежи в конструктивных целях, находя тем самым баланс между интересами молодых людей, местных сообществ, государства и общества в целом.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Данные методические рекомендации предназначены для организации работы всех органов исполнительной власти субъектов Российской Федерации, разработки региональных программ и реализации мероприятий, направленных на профилактику экстремизма в молодежной среде.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Приложение. Правовые основы противодействия молодежному экстремизму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Следует отметить, что пока правонарушения имеют место, сохраняется необходимость в применении правоохранительными органами государства принудительных мер в отношении правонарушителей, потому как «право есть ничто без аппарата, способного принуждать к соблюдению норм права».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Молодые люди при достижении установленного законом возраста могут быть привлечены как к административной, так и к уголовной ответственности.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Кодексе об административных правонарушениях Российской Федерации имеются две статьи, предусматривающие ответственность за совершение правонарушения экстремистского характера. Это статья 20.3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«пропаганда и публичное демонстрирование нацистской атрибутики или символики» и статья 20.29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«производство и распространение экстремистских материалов».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Вместе с тем, Кодекс об административных правонарушениях Российской Федерации предусматривает ответственность за другие противоправные действия, которые также могут носить экстремистский характер или исходить из экстремистских побуждений. К их числу можно отнести: нарушение законодательства о свободе совести, свободе вероисповедания и о религиозных объединениях (статья 5.26); незаконные действия по отношению к государственным символам Российской Федерации (статья 17.10); мелкое хулиганство (статья 20.1); нарушение установленного порядка организации либо проведения собрания, митинга, демонстрации, шествия или пикетирования (статья 20.2); организация деятельности общественного или религиозного объединения, в отношении которого принято решение о приостановлении его деятельности (статья 20.2(1)).</w:t>
      </w:r>
    </w:p>
    <w:p w:rsidR="00BC08A8" w:rsidRDefault="00181A04" w:rsidP="00BC08A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Уголовная ответственность предусмотрена за совершение противоправных деяний экстремистской направленности, к числу которых относятся преступления, совершенные по мотивам политической, идеологической, расовой, национальной или религиозной ненависти или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вражды, либо по мотивам ненависти или вражды в отношении какой-либо социальной группы (статья 105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убийство; статья 111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умышленное причинение тяжкого вреда здоровью; статья 112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умышленное причинение средней тяжести вреда здоровью; статья 115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умышленное причинение легкого вреда здоровью; статья 116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побои; статья 117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истязание; статья 119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угроза убийством или причинением тяжкого вреда здоровью; статья 136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нарушение равенства прав и свобод человека и гражданина; статья 148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воспрепятствование осуществлению права на свободу совести и вероисповеданий; статья 149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воспрепятствование проведению собрания, митинга, демонстрации, шествия, пикетирования или участию в них; статья 150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вовлечение несовершеннолетнего в совершение преступления; статья 212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массовые беспорядки; статья 213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хулиганство; статья 214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вандализм; статья 239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организация объединения, посягающего на личность и права граждан; статья 243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уничтожение или повреждение памятников истории и культуры; статья 244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надругательство над телами умерших и местами их захоронения; статья 280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публичные призывы к осуществлению экстремистской деятельности; статья 281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диверсия; статья 282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возбуждение ненависти либо вражды, а равно унижение человеческого достоинства; статья 282.1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организация экстремистского сообщества; статья 282.2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деятельности экстремистской организации; статья 335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 нарушение уставных правил взаимоотношений между военнослужащими при отсутствии между ними отношений подчиненности; статья 336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оскорбление военнослужащего; статья 357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 геноцид).</w:t>
      </w:r>
    </w:p>
    <w:p w:rsidR="00BC08A8" w:rsidRDefault="00BC08A8" w:rsidP="00BC08A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8A8" w:rsidRDefault="00BC08A8" w:rsidP="00BC08A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8A8" w:rsidRDefault="00BC08A8" w:rsidP="00BC08A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8A8" w:rsidRDefault="00BC08A8" w:rsidP="00BC08A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8A8" w:rsidRDefault="00BC08A8" w:rsidP="00BC08A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8A8" w:rsidRDefault="00BC08A8" w:rsidP="00BC08A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8A8" w:rsidRDefault="00BC08A8" w:rsidP="00BC08A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D3B" w:rsidRPr="00F93050" w:rsidRDefault="00F32D3B" w:rsidP="00BC08A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F93050">
        <w:rPr>
          <w:rFonts w:ascii="Times New Roman" w:eastAsia="Times New Roman" w:hAnsi="Times New Roman" w:cs="Times New Roman"/>
          <w:spacing w:val="-20"/>
          <w:sz w:val="28"/>
          <w:szCs w:val="28"/>
        </w:rPr>
        <w:t>Сборник составлен</w:t>
      </w:r>
      <w:r w:rsidR="003E022C" w:rsidRPr="00F93050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НОУ ВПО Западно-Сибирским Институтом Финансов и Права по заказу администрации г.Нижневартовска в рамках реализации программы «Профилактика терроризма и экстремизма в городе Нижневартовс</w:t>
      </w:r>
      <w:r w:rsidR="00326734" w:rsidRPr="00F93050">
        <w:rPr>
          <w:rFonts w:ascii="Times New Roman" w:eastAsia="Times New Roman" w:hAnsi="Times New Roman" w:cs="Times New Roman"/>
          <w:spacing w:val="-20"/>
          <w:sz w:val="28"/>
          <w:szCs w:val="28"/>
        </w:rPr>
        <w:t>к</w:t>
      </w:r>
      <w:r w:rsidR="003E022C" w:rsidRPr="00F93050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е на 2012 </w:t>
      </w:r>
      <w:r w:rsidR="00326734" w:rsidRPr="00F93050">
        <w:rPr>
          <w:rFonts w:ascii="Times New Roman" w:eastAsia="Times New Roman" w:hAnsi="Times New Roman" w:cs="Times New Roman"/>
          <w:spacing w:val="-20"/>
          <w:sz w:val="28"/>
          <w:szCs w:val="28"/>
        </w:rPr>
        <w:t>–</w:t>
      </w:r>
      <w:r w:rsidR="003E022C" w:rsidRPr="00F93050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2014</w:t>
      </w:r>
      <w:r w:rsidR="00326734" w:rsidRPr="00F93050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годы»</w:t>
      </w:r>
      <w:r w:rsidRPr="00F93050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по материалам  научного информационно-образовательного журнала. 2012 № 1 (02) (</w:t>
      </w:r>
      <w:r w:rsidRPr="00F93050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http</w:t>
      </w:r>
      <w:r w:rsidRPr="00F93050">
        <w:rPr>
          <w:rFonts w:ascii="Times New Roman" w:eastAsia="Times New Roman" w:hAnsi="Times New Roman" w:cs="Times New Roman"/>
          <w:spacing w:val="-20"/>
          <w:sz w:val="28"/>
          <w:szCs w:val="28"/>
        </w:rPr>
        <w:t>://</w:t>
      </w:r>
      <w:r w:rsidRPr="00F93050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pu</w:t>
      </w:r>
      <w:r w:rsidRPr="00F93050">
        <w:rPr>
          <w:rFonts w:ascii="Times New Roman" w:eastAsia="Times New Roman" w:hAnsi="Times New Roman" w:cs="Times New Roman"/>
          <w:spacing w:val="-20"/>
          <w:sz w:val="28"/>
          <w:szCs w:val="28"/>
        </w:rPr>
        <w:t>.</w:t>
      </w:r>
      <w:r w:rsidRPr="00F93050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virmk</w:t>
      </w:r>
      <w:r w:rsidRPr="00F93050">
        <w:rPr>
          <w:rFonts w:ascii="Times New Roman" w:eastAsia="Times New Roman" w:hAnsi="Times New Roman" w:cs="Times New Roman"/>
          <w:spacing w:val="-20"/>
          <w:sz w:val="28"/>
          <w:szCs w:val="28"/>
        </w:rPr>
        <w:t>.</w:t>
      </w:r>
      <w:r w:rsidRPr="00F93050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ru</w:t>
      </w:r>
      <w:r w:rsidR="00213767" w:rsidRPr="00F93050">
        <w:rPr>
          <w:rFonts w:ascii="Times New Roman" w:eastAsia="Times New Roman" w:hAnsi="Times New Roman" w:cs="Times New Roman"/>
          <w:spacing w:val="-20"/>
          <w:sz w:val="28"/>
          <w:szCs w:val="28"/>
        </w:rPr>
        <w:t>.</w:t>
      </w:r>
      <w:r w:rsidRPr="00F93050">
        <w:rPr>
          <w:rFonts w:ascii="Times New Roman" w:eastAsia="Times New Roman" w:hAnsi="Times New Roman" w:cs="Times New Roman"/>
          <w:spacing w:val="-20"/>
          <w:sz w:val="28"/>
          <w:szCs w:val="28"/>
        </w:rPr>
        <w:t>)</w:t>
      </w:r>
      <w:r w:rsidR="00213767" w:rsidRPr="00F93050">
        <w:rPr>
          <w:rFonts w:ascii="Times New Roman" w:eastAsia="Times New Roman" w:hAnsi="Times New Roman" w:cs="Times New Roman"/>
          <w:spacing w:val="-20"/>
          <w:sz w:val="28"/>
          <w:szCs w:val="28"/>
        </w:rPr>
        <w:t>.</w:t>
      </w:r>
    </w:p>
    <w:sectPr w:rsidR="00F32D3B" w:rsidRPr="00F93050" w:rsidSect="00FD2BC4">
      <w:footerReference w:type="even" r:id="rId10"/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A8F" w:rsidRDefault="00333A8F" w:rsidP="00181A04">
      <w:pPr>
        <w:spacing w:after="0" w:line="240" w:lineRule="auto"/>
      </w:pPr>
      <w:r>
        <w:separator/>
      </w:r>
    </w:p>
  </w:endnote>
  <w:endnote w:type="continuationSeparator" w:id="1">
    <w:p w:rsidR="00333A8F" w:rsidRDefault="00333A8F" w:rsidP="00181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BC4" w:rsidRDefault="00F85595">
    <w:pPr>
      <w:pStyle w:val="a6"/>
    </w:pPr>
    <w:fldSimple w:instr=" PAGE   \* MERGEFORMAT ">
      <w:r w:rsidR="009A0EF5">
        <w:rPr>
          <w:noProof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BC4" w:rsidRDefault="00F85595" w:rsidP="00FD2BC4">
    <w:pPr>
      <w:pStyle w:val="a6"/>
      <w:jc w:val="right"/>
    </w:pPr>
    <w:fldSimple w:instr=" PAGE   \* MERGEFORMAT ">
      <w:r w:rsidR="009A0EF5">
        <w:rPr>
          <w:noProof/>
        </w:rPr>
        <w:t>5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BC4" w:rsidRDefault="00F85595" w:rsidP="00FD2BC4">
    <w:pPr>
      <w:pStyle w:val="a6"/>
      <w:jc w:val="right"/>
    </w:pPr>
    <w:fldSimple w:instr=" PAGE   \* MERGEFORMAT ">
      <w:r w:rsidR="00FD2BC4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A8F" w:rsidRDefault="00333A8F" w:rsidP="00181A04">
      <w:pPr>
        <w:spacing w:after="0" w:line="240" w:lineRule="auto"/>
      </w:pPr>
      <w:r>
        <w:separator/>
      </w:r>
    </w:p>
  </w:footnote>
  <w:footnote w:type="continuationSeparator" w:id="1">
    <w:p w:rsidR="00333A8F" w:rsidRDefault="00333A8F" w:rsidP="00181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95A02"/>
    <w:multiLevelType w:val="multilevel"/>
    <w:tmpl w:val="6D941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27EDF"/>
    <w:multiLevelType w:val="multilevel"/>
    <w:tmpl w:val="E9A2A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A0415"/>
    <w:multiLevelType w:val="hybridMultilevel"/>
    <w:tmpl w:val="7A4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70384"/>
    <w:multiLevelType w:val="multilevel"/>
    <w:tmpl w:val="F920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EE31C3"/>
    <w:multiLevelType w:val="multilevel"/>
    <w:tmpl w:val="6DCC9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F325A"/>
    <w:multiLevelType w:val="multilevel"/>
    <w:tmpl w:val="B902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933B8B"/>
    <w:multiLevelType w:val="multilevel"/>
    <w:tmpl w:val="E256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1870FB"/>
    <w:multiLevelType w:val="multilevel"/>
    <w:tmpl w:val="745E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6C0611"/>
    <w:multiLevelType w:val="multilevel"/>
    <w:tmpl w:val="B5C4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BC5C1B"/>
    <w:multiLevelType w:val="multilevel"/>
    <w:tmpl w:val="8BEE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9404FF"/>
    <w:multiLevelType w:val="multilevel"/>
    <w:tmpl w:val="BCB87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AA4B81"/>
    <w:multiLevelType w:val="multilevel"/>
    <w:tmpl w:val="9F16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462209"/>
    <w:multiLevelType w:val="multilevel"/>
    <w:tmpl w:val="EF6A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7E3845"/>
    <w:multiLevelType w:val="multilevel"/>
    <w:tmpl w:val="FC52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980848"/>
    <w:multiLevelType w:val="multilevel"/>
    <w:tmpl w:val="DDFC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C2241C"/>
    <w:multiLevelType w:val="multilevel"/>
    <w:tmpl w:val="DAA8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405EB4"/>
    <w:multiLevelType w:val="multilevel"/>
    <w:tmpl w:val="B9CAF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14"/>
  </w:num>
  <w:num w:numId="5">
    <w:abstractNumId w:val="4"/>
  </w:num>
  <w:num w:numId="6">
    <w:abstractNumId w:val="6"/>
  </w:num>
  <w:num w:numId="7">
    <w:abstractNumId w:val="8"/>
  </w:num>
  <w:num w:numId="8">
    <w:abstractNumId w:val="15"/>
  </w:num>
  <w:num w:numId="9">
    <w:abstractNumId w:val="5"/>
  </w:num>
  <w:num w:numId="10">
    <w:abstractNumId w:val="3"/>
  </w:num>
  <w:num w:numId="11">
    <w:abstractNumId w:val="10"/>
  </w:num>
  <w:num w:numId="12">
    <w:abstractNumId w:val="0"/>
  </w:num>
  <w:num w:numId="13">
    <w:abstractNumId w:val="12"/>
  </w:num>
  <w:num w:numId="14">
    <w:abstractNumId w:val="13"/>
  </w:num>
  <w:num w:numId="15">
    <w:abstractNumId w:val="9"/>
  </w:num>
  <w:num w:numId="16">
    <w:abstractNumId w:val="1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mirrorMargins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1A04"/>
    <w:rsid w:val="000660FA"/>
    <w:rsid w:val="0018128A"/>
    <w:rsid w:val="00181A04"/>
    <w:rsid w:val="001B5692"/>
    <w:rsid w:val="00213767"/>
    <w:rsid w:val="00256B55"/>
    <w:rsid w:val="00293403"/>
    <w:rsid w:val="00326734"/>
    <w:rsid w:val="00333A8F"/>
    <w:rsid w:val="0036087E"/>
    <w:rsid w:val="00372DE6"/>
    <w:rsid w:val="003E022C"/>
    <w:rsid w:val="00443221"/>
    <w:rsid w:val="004A5BB7"/>
    <w:rsid w:val="004B1136"/>
    <w:rsid w:val="0056527E"/>
    <w:rsid w:val="0058697F"/>
    <w:rsid w:val="005975BF"/>
    <w:rsid w:val="006438B9"/>
    <w:rsid w:val="00654445"/>
    <w:rsid w:val="006A1270"/>
    <w:rsid w:val="006B5A6E"/>
    <w:rsid w:val="006B5AEE"/>
    <w:rsid w:val="006E05C8"/>
    <w:rsid w:val="006E7DDC"/>
    <w:rsid w:val="00736117"/>
    <w:rsid w:val="007B079A"/>
    <w:rsid w:val="00823216"/>
    <w:rsid w:val="00852CE7"/>
    <w:rsid w:val="00852E88"/>
    <w:rsid w:val="00873F91"/>
    <w:rsid w:val="008E08D4"/>
    <w:rsid w:val="00913B08"/>
    <w:rsid w:val="00982064"/>
    <w:rsid w:val="009A0EF5"/>
    <w:rsid w:val="00A1592A"/>
    <w:rsid w:val="00A9035D"/>
    <w:rsid w:val="00A94F05"/>
    <w:rsid w:val="00AA1003"/>
    <w:rsid w:val="00AD3593"/>
    <w:rsid w:val="00BB07E6"/>
    <w:rsid w:val="00BC08A8"/>
    <w:rsid w:val="00C225B6"/>
    <w:rsid w:val="00CC01F0"/>
    <w:rsid w:val="00CC5E31"/>
    <w:rsid w:val="00CE1B63"/>
    <w:rsid w:val="00CE6638"/>
    <w:rsid w:val="00D92106"/>
    <w:rsid w:val="00DB0C4F"/>
    <w:rsid w:val="00E053C2"/>
    <w:rsid w:val="00E601A2"/>
    <w:rsid w:val="00E80AF7"/>
    <w:rsid w:val="00EF748F"/>
    <w:rsid w:val="00F226BC"/>
    <w:rsid w:val="00F32D3B"/>
    <w:rsid w:val="00F528D5"/>
    <w:rsid w:val="00F7563A"/>
    <w:rsid w:val="00F85595"/>
    <w:rsid w:val="00F93050"/>
    <w:rsid w:val="00FD2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C8"/>
  </w:style>
  <w:style w:type="paragraph" w:styleId="1">
    <w:name w:val="heading 1"/>
    <w:basedOn w:val="a"/>
    <w:link w:val="10"/>
    <w:uiPriority w:val="9"/>
    <w:qFormat/>
    <w:rsid w:val="00181A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A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18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81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1A04"/>
  </w:style>
  <w:style w:type="paragraph" w:styleId="a6">
    <w:name w:val="footer"/>
    <w:basedOn w:val="a"/>
    <w:link w:val="a7"/>
    <w:uiPriority w:val="99"/>
    <w:semiHidden/>
    <w:unhideWhenUsed/>
    <w:rsid w:val="00181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1A04"/>
  </w:style>
  <w:style w:type="table" w:styleId="a8">
    <w:name w:val="Table Grid"/>
    <w:basedOn w:val="a1"/>
    <w:uiPriority w:val="59"/>
    <w:rsid w:val="006438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9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4F0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23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7124</Words>
  <Characters>40611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ЗапСибИФП</Company>
  <LinksUpToDate>false</LinksUpToDate>
  <CharactersWithSpaces>47640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Ноутбук1</dc:creator>
  <cp:keywords/>
  <dc:description/>
  <cp:lastModifiedBy>Admin</cp:lastModifiedBy>
  <cp:revision>2</cp:revision>
  <cp:lastPrinted>2012-12-10T11:14:00Z</cp:lastPrinted>
  <dcterms:created xsi:type="dcterms:W3CDTF">2013-07-17T07:39:00Z</dcterms:created>
  <dcterms:modified xsi:type="dcterms:W3CDTF">2013-07-17T07:39:00Z</dcterms:modified>
</cp:coreProperties>
</file>